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A1E" w:rsidRDefault="00FC7006">
      <w:pPr>
        <w:pStyle w:val="Heading10"/>
        <w:keepNext/>
        <w:keepLines/>
        <w:shd w:val="clear" w:color="auto" w:fill="auto"/>
        <w:ind w:right="5400"/>
      </w:pPr>
      <w:bookmarkStart w:id="0" w:name="bookmark0"/>
      <w:r>
        <w:t>УНИВЕРЗИТЕТ У НИШУ ФИЛОЗОФСКИ ФАКУЛТЕТ НИШ</w:t>
      </w:r>
      <w:bookmarkEnd w:id="0"/>
    </w:p>
    <w:p w:rsidR="00224A1E" w:rsidRDefault="00FC7006">
      <w:pPr>
        <w:pStyle w:val="Bodytext20"/>
        <w:shd w:val="clear" w:color="auto" w:fill="auto"/>
        <w:spacing w:before="0"/>
        <w:ind w:firstLine="740"/>
      </w:pPr>
      <w:r>
        <w:t>На седници Наставно-научног већа Филозофског факултета у Нишу од 04. 04. 2018. године, именована сам за рецензента рукописа „Живот у служби науке“: Зборник радова посвећен Милораду Божићу.</w:t>
      </w:r>
    </w:p>
    <w:p w:rsidR="00224A1E" w:rsidRDefault="00FC7006">
      <w:pPr>
        <w:pStyle w:val="Bodytext20"/>
        <w:shd w:val="clear" w:color="auto" w:fill="auto"/>
        <w:spacing w:before="0" w:after="271"/>
        <w:ind w:firstLine="740"/>
      </w:pPr>
      <w:r>
        <w:t xml:space="preserve">Пошто сам прегледала </w:t>
      </w:r>
      <w:r>
        <w:t>достављени рукопис, Већу подносим следећу</w:t>
      </w:r>
    </w:p>
    <w:p w:rsidR="00224A1E" w:rsidRDefault="00FC7006">
      <w:pPr>
        <w:pStyle w:val="Heading10"/>
        <w:keepNext/>
        <w:keepLines/>
        <w:shd w:val="clear" w:color="auto" w:fill="auto"/>
        <w:spacing w:after="207" w:line="220" w:lineRule="exact"/>
        <w:ind w:right="20"/>
        <w:jc w:val="center"/>
      </w:pPr>
      <w:bookmarkStart w:id="1" w:name="bookmark1"/>
      <w:r>
        <w:t>РЕЦЕНЗИЈУ</w:t>
      </w:r>
      <w:bookmarkEnd w:id="1"/>
    </w:p>
    <w:p w:rsidR="00224A1E" w:rsidRDefault="00FC7006">
      <w:pPr>
        <w:pStyle w:val="Bodytext20"/>
        <w:shd w:val="clear" w:color="auto" w:fill="auto"/>
        <w:spacing w:before="0"/>
        <w:ind w:firstLine="740"/>
      </w:pPr>
      <w:r>
        <w:t>Прилози саопштени на округлом столу посвећеном стваралаштву проф. др Милораду Божићу, 10. јуна 2017. године у Центру за социолошка истраживања Филозофског факултета Универзитета у Нишу, саставни су део Зб</w:t>
      </w:r>
      <w:r>
        <w:t>орника радова „Живот у служби науке“ који је приредио др Љубиша Митровић, проф. емеритус. Једанаест прилога (десет на српском и један на бугарском) разврстано је у три целине: „Личност професора Божића и допринос развоју науке и друштва“, „Омаж заједничкој</w:t>
      </w:r>
      <w:r>
        <w:t xml:space="preserve"> сарадњи“ и „Приказ књиге сећања“. Текстовима претходи Предговор приређивача Зборника.</w:t>
      </w:r>
    </w:p>
    <w:p w:rsidR="00224A1E" w:rsidRDefault="00FC7006">
      <w:pPr>
        <w:pStyle w:val="Bodytext20"/>
        <w:shd w:val="clear" w:color="auto" w:fill="auto"/>
        <w:spacing w:before="0"/>
        <w:ind w:firstLine="740"/>
      </w:pPr>
      <w:r>
        <w:t>Први део Зборника „Личност професора Божића и допринос развоју науке и друштва“ садржи седам ауторских прилога који сваки на свој начин говори о личности и делу проф. Бо</w:t>
      </w:r>
      <w:r>
        <w:t xml:space="preserve">жића. Ови прилози могу се поделити у две групе. Прву чине текстови Љубише Митровића, </w:t>
      </w:r>
      <w:r>
        <w:rPr>
          <w:rStyle w:val="Bodytext2Italic"/>
        </w:rPr>
        <w:t>Један частан живот у служби науке и идеала демократског друштвеног развоја Србије и културе мира на Балкану;</w:t>
      </w:r>
      <w:r>
        <w:t xml:space="preserve"> Јована Р. Крстића, </w:t>
      </w:r>
      <w:r>
        <w:rPr>
          <w:rStyle w:val="Bodytext2Italic"/>
        </w:rPr>
        <w:t xml:space="preserve">Сећање на др Милорада Божића - од студента </w:t>
      </w:r>
      <w:r>
        <w:rPr>
          <w:rStyle w:val="Bodytext2Italic"/>
        </w:rPr>
        <w:t>до професора Универзитета у Нишу,</w:t>
      </w:r>
      <w:r>
        <w:t xml:space="preserve"> Гордане Станковић, </w:t>
      </w:r>
      <w:r>
        <w:rPr>
          <w:rStyle w:val="Bodytext2Italic"/>
        </w:rPr>
        <w:t>Скица за портрет проф. др Милорада Божића;</w:t>
      </w:r>
      <w:r>
        <w:t xml:space="preserve"> Љубинка Милосављевића </w:t>
      </w:r>
      <w:r>
        <w:rPr>
          <w:rStyle w:val="Bodytext2Italic"/>
        </w:rPr>
        <w:t>Божићево одуживање дуга завичај</w:t>
      </w:r>
      <w:r>
        <w:t xml:space="preserve"> и Милоша Прице, </w:t>
      </w:r>
      <w:r>
        <w:rPr>
          <w:rStyle w:val="Bodytext2Italic"/>
        </w:rPr>
        <w:t>Слово о професору Милораду Божићу: слово о интелектуалцу.</w:t>
      </w:r>
      <w:r>
        <w:t xml:space="preserve"> Аутори у својим текстовима анали</w:t>
      </w:r>
      <w:r>
        <w:t>зирају живот и рад проф. Божића још од студентских дана. Указују на његов допринос савременој економији, регионалном развоју, међународној научној сарадњи и борби за културу мира на Балкану, истовремено истичући његов педагошки рад, као и друштвени и полит</w:t>
      </w:r>
      <w:r>
        <w:t>ички ангажман, посебно бригу за очување и одржавање стандарда високошколског образовања. У прилозима су истакнуте не само професионалне и научне компетенције, већ и људске особине, јер како су истакли аутори, несумњива је била његова спремност да помогне м</w:t>
      </w:r>
      <w:r>
        <w:t>лађим колегама својим саветима, али и свом родном крају не само стручним саветима, већ и организовањем хуманитарних акција. Како је истакао један од аутора, Божић је био „професор-интелектуалц, особа која је зрачила поштењем и скромношћу“.</w:t>
      </w:r>
    </w:p>
    <w:p w:rsidR="00224A1E" w:rsidRDefault="00FC7006">
      <w:pPr>
        <w:pStyle w:val="Bodytext20"/>
        <w:shd w:val="clear" w:color="auto" w:fill="auto"/>
        <w:spacing w:before="0"/>
        <w:ind w:firstLine="740"/>
      </w:pPr>
      <w:r>
        <w:t>Другу групу чине</w:t>
      </w:r>
      <w:r>
        <w:t xml:space="preserve"> прилози Срђана Голубовића и Марка Димитријевића, </w:t>
      </w:r>
      <w:r>
        <w:rPr>
          <w:rStyle w:val="Bodytext2Italic"/>
        </w:rPr>
        <w:t>Допринос Милорада Божића развоју науке о економској политици у Србији</w:t>
      </w:r>
      <w:r>
        <w:t xml:space="preserve"> и текст Биљане Продовић Милојковић, </w:t>
      </w:r>
      <w:r>
        <w:rPr>
          <w:rStyle w:val="Bodytext2Italic"/>
        </w:rPr>
        <w:t>Маргиналије о уређивачкој мисији професора Милорада Божића.</w:t>
      </w:r>
      <w:r>
        <w:t xml:space="preserve"> Текстови се баве научном и уређивачком д</w:t>
      </w:r>
      <w:r>
        <w:t>елатношћу проф. Божића. У првом раду указуано је на његов допринос Економској политици као научној дисциплини кроз анализу уџбеника Економска политика. Посебно је истакнуто залагање за интегрално сагледавање економске политике и правне регулативе и „посвећ</w:t>
      </w:r>
      <w:r>
        <w:t>ивање посебне пажње проблемима развојне политике, а нарочито политици техничко-технолошког развоја“. Биљана Продовић Милојковић нас у свом прилогу упознаје са делом богате уређивачке делатности проф. Божића. Посебно анализира осам тематских зборника радова</w:t>
      </w:r>
      <w:r>
        <w:t xml:space="preserve"> „Балкан у процесу евроинтеграције“, чији је главни уредник и приређивач био професор Божић. Анализа текстова објављених у овим зборницима, потврђује на својеврстан начин тезу да је проф. Божић био свестан да је савремено друштво и промене у њему могуће са</w:t>
      </w:r>
      <w:r>
        <w:t>гледавати и тумачити са аспекта различитих научних дисциплина, те зборници јесу скуп интер и мултидисциплинарних текстова.</w:t>
      </w:r>
    </w:p>
    <w:p w:rsidR="00224A1E" w:rsidRDefault="00FC7006" w:rsidP="00D721EC">
      <w:pPr>
        <w:pStyle w:val="Bodytext20"/>
        <w:shd w:val="clear" w:color="auto" w:fill="auto"/>
        <w:spacing w:before="0"/>
        <w:ind w:firstLine="740"/>
      </w:pPr>
      <w:r>
        <w:t xml:space="preserve">Други део Зборника „Омаж заједничкој сарадњи“ садржи прилоге Емилије Вукадин, </w:t>
      </w:r>
      <w:r>
        <w:rPr>
          <w:rStyle w:val="Bodytext2Italic"/>
        </w:rPr>
        <w:t>Институционални и правни аспект придруживања Србије Евр</w:t>
      </w:r>
      <w:r>
        <w:rPr>
          <w:rStyle w:val="Bodytext2Italic"/>
        </w:rPr>
        <w:t>опској унији</w:t>
      </w:r>
      <w:r>
        <w:t xml:space="preserve"> и Вихрена</w:t>
      </w:r>
      <w:r w:rsidR="00D721EC">
        <w:t xml:space="preserve"> </w:t>
      </w:r>
      <w:r>
        <w:t xml:space="preserve">Боузова, </w:t>
      </w:r>
      <w:r>
        <w:rPr>
          <w:rStyle w:val="Bodytext2Italic"/>
        </w:rPr>
        <w:t>Икономическа политика и ценности.</w:t>
      </w:r>
      <w:r>
        <w:t xml:space="preserve"> Први прилог је индиректно везан за рад проф. Божића. </w:t>
      </w:r>
      <w:r>
        <w:lastRenderedPageBreak/>
        <w:t>Познаваоци његовог стваралаштва могу да увиде да су теме којима се Божић бавио директно, или кроз уређивачку делатност везане за тему ко</w:t>
      </w:r>
      <w:r>
        <w:t xml:space="preserve">јом се бави ауторка Вукадин. При том, треба нагласити да </w:t>
      </w:r>
      <w:r w:rsidR="00D721EC">
        <w:rPr>
          <w:lang w:val="sr-Cyrl-RS"/>
        </w:rPr>
        <w:t xml:space="preserve">у свом тексту </w:t>
      </w:r>
      <w:bookmarkStart w:id="2" w:name="_GoBack"/>
      <w:bookmarkEnd w:id="2"/>
      <w:r>
        <w:t>указује да успешно окончање процеса хармонизације подразумева институционалну подршку у економској, правној и политичкој сфери друштва о чему је писао и проф. Божић у својим радовима</w:t>
      </w:r>
      <w:r>
        <w:t>. Текст Вихрена Боузова, указује на допринос проф. Божића сагледавању везе између економске политике, вредности и заштити комунитарних друштвених вредности. Аутор истиче његову умешност и вештину да користи аргументе из сфере економије, права и социологије</w:t>
      </w:r>
      <w:r>
        <w:t>, јер у процесу вредновања економских политика и модела, може се сматрати ефикасном, она економска политика која остварује циљеве релевантне за друштвене вредности и интересе грађана.</w:t>
      </w:r>
    </w:p>
    <w:p w:rsidR="00224A1E" w:rsidRDefault="00FC7006">
      <w:pPr>
        <w:pStyle w:val="Bodytext20"/>
        <w:shd w:val="clear" w:color="auto" w:fill="auto"/>
        <w:spacing w:before="0"/>
        <w:ind w:firstLine="740"/>
      </w:pPr>
      <w:r>
        <w:t>Трећи део, „Приказ књиге сећања“, садржи два текста Иване Божић Миљковић</w:t>
      </w:r>
      <w:r>
        <w:t xml:space="preserve">. Први је приказ књиге </w:t>
      </w:r>
      <w:r>
        <w:rPr>
          <w:rStyle w:val="Bodytext2Italic"/>
        </w:rPr>
        <w:t>Узгред забележено,</w:t>
      </w:r>
      <w:r>
        <w:t xml:space="preserve"> док нас у другом, ауторка упознаје са био- библиографским подацима проф. Божића. Библиографски подаци изнети у овом делу Зборника потврђују све оно на шта су аутори указивали у својим прилозима.</w:t>
      </w:r>
    </w:p>
    <w:p w:rsidR="00224A1E" w:rsidRDefault="00FC7006">
      <w:pPr>
        <w:pStyle w:val="Bodytext20"/>
        <w:shd w:val="clear" w:color="auto" w:fill="auto"/>
        <w:spacing w:before="0" w:after="631"/>
        <w:ind w:firstLine="740"/>
      </w:pPr>
      <w:r>
        <w:t>Имајући у виду да п</w:t>
      </w:r>
      <w:r>
        <w:t>рилози у Зборнику представљају саопштења са округлог стола, као и повод којим је организован, задовољство ми је да Зборник „Живот у служби науке“ препоручим за публиковање.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4572"/>
      </w:tblGrid>
      <w:tr w:rsidR="00D721EC" w:rsidTr="00D721EC">
        <w:tc>
          <w:tcPr>
            <w:tcW w:w="4572" w:type="dxa"/>
          </w:tcPr>
          <w:p w:rsidR="00D721EC" w:rsidRDefault="00D721EC" w:rsidP="00D721EC">
            <w:pPr>
              <w:pStyle w:val="Bodytext20"/>
              <w:shd w:val="clear" w:color="auto" w:fill="auto"/>
              <w:spacing w:before="0" w:line="220" w:lineRule="exact"/>
              <w:rPr>
                <w:noProof/>
              </w:rPr>
            </w:pPr>
            <w:r>
              <w:t xml:space="preserve">У </w:t>
            </w:r>
            <w:r>
              <w:rPr>
                <w:lang w:val="sr-Cyrl-RS"/>
              </w:rPr>
              <w:t>Н</w:t>
            </w:r>
            <w:r>
              <w:t>ишу,</w:t>
            </w:r>
            <w:r>
              <w:rPr>
                <w:noProof/>
              </w:rPr>
              <w:t xml:space="preserve"> </w:t>
            </w:r>
          </w:p>
          <w:p w:rsidR="00D721EC" w:rsidRDefault="00D721EC" w:rsidP="00D721EC">
            <w:pPr>
              <w:pStyle w:val="Bodytext20"/>
              <w:shd w:val="clear" w:color="auto" w:fill="auto"/>
              <w:spacing w:before="0" w:line="220" w:lineRule="exact"/>
              <w:rPr>
                <w:noProof/>
              </w:rPr>
            </w:pPr>
          </w:p>
          <w:p w:rsidR="00D721EC" w:rsidRDefault="00D721EC" w:rsidP="00D721EC">
            <w:pPr>
              <w:pStyle w:val="Bodytext20"/>
              <w:shd w:val="clear" w:color="auto" w:fill="auto"/>
              <w:spacing w:before="0" w:line="220" w:lineRule="exact"/>
            </w:pPr>
            <w:r>
              <w:t>29. 05. 2018.</w:t>
            </w:r>
          </w:p>
          <w:p w:rsidR="00D721EC" w:rsidRPr="00D721EC" w:rsidRDefault="00D721EC">
            <w:pPr>
              <w:pStyle w:val="Bodytext20"/>
              <w:shd w:val="clear" w:color="auto" w:fill="auto"/>
              <w:spacing w:before="0" w:after="631"/>
              <w:rPr>
                <w:lang w:val="sr-Cyrl-RS"/>
              </w:rPr>
            </w:pPr>
          </w:p>
        </w:tc>
        <w:tc>
          <w:tcPr>
            <w:tcW w:w="4572" w:type="dxa"/>
          </w:tcPr>
          <w:p w:rsidR="00D721EC" w:rsidRDefault="00D721EC" w:rsidP="00D721EC">
            <w:pPr>
              <w:pStyle w:val="Picturecaption"/>
              <w:shd w:val="clear" w:color="auto" w:fill="auto"/>
              <w:spacing w:line="220" w:lineRule="exact"/>
              <w:jc w:val="center"/>
            </w:pPr>
            <w:r>
              <w:t>Рецензент</w:t>
            </w:r>
          </w:p>
          <w:p w:rsidR="00D721EC" w:rsidRDefault="00D721EC" w:rsidP="00D721EC">
            <w:pPr>
              <w:pStyle w:val="Picturecaption"/>
              <w:shd w:val="clear" w:color="auto" w:fill="auto"/>
              <w:spacing w:line="220" w:lineRule="exact"/>
              <w:jc w:val="center"/>
            </w:pPr>
          </w:p>
          <w:p w:rsidR="00D721EC" w:rsidRDefault="00D721EC" w:rsidP="00D721EC">
            <w:pPr>
              <w:pStyle w:val="Picturecaption"/>
              <w:shd w:val="clear" w:color="auto" w:fill="auto"/>
              <w:spacing w:line="220" w:lineRule="exact"/>
            </w:pPr>
          </w:p>
          <w:p w:rsidR="00D721EC" w:rsidRDefault="00D721EC" w:rsidP="00D721EC">
            <w:pPr>
              <w:pStyle w:val="Picturecaption"/>
              <w:shd w:val="clear" w:color="auto" w:fill="auto"/>
              <w:spacing w:line="220" w:lineRule="exact"/>
              <w:jc w:val="center"/>
            </w:pPr>
            <w:r>
              <w:t>Др Весна Милтојевић, ред. проф.</w:t>
            </w:r>
          </w:p>
        </w:tc>
      </w:tr>
    </w:tbl>
    <w:p w:rsidR="00D721EC" w:rsidRDefault="00D721EC">
      <w:pPr>
        <w:pStyle w:val="Bodytext20"/>
        <w:shd w:val="clear" w:color="auto" w:fill="auto"/>
        <w:spacing w:before="0" w:after="631"/>
        <w:ind w:firstLine="740"/>
      </w:pPr>
    </w:p>
    <w:p w:rsidR="00D721EC" w:rsidRDefault="00D721EC">
      <w:pPr>
        <w:pStyle w:val="Bodytext20"/>
        <w:shd w:val="clear" w:color="auto" w:fill="auto"/>
        <w:spacing w:before="0" w:after="631"/>
        <w:ind w:firstLine="740"/>
      </w:pPr>
    </w:p>
    <w:p w:rsidR="00224A1E" w:rsidRDefault="00FC7006">
      <w:pPr>
        <w:pStyle w:val="Bodytext20"/>
        <w:shd w:val="clear" w:color="auto" w:fill="auto"/>
        <w:tabs>
          <w:tab w:val="left" w:pos="6365"/>
        </w:tabs>
        <w:spacing w:before="0" w:after="109" w:line="220" w:lineRule="exact"/>
      </w:pPr>
      <w:r>
        <w:tab/>
      </w:r>
    </w:p>
    <w:p w:rsidR="00D721EC" w:rsidRDefault="00D721EC">
      <w:pPr>
        <w:pStyle w:val="Bodytext20"/>
        <w:shd w:val="clear" w:color="auto" w:fill="auto"/>
        <w:spacing w:before="0" w:line="220" w:lineRule="exact"/>
      </w:pPr>
    </w:p>
    <w:sectPr w:rsidR="00D721EC">
      <w:pgSz w:w="12240" w:h="15840"/>
      <w:pgMar w:top="1082" w:right="1549" w:bottom="1240" w:left="15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006" w:rsidRDefault="00FC7006">
      <w:r>
        <w:separator/>
      </w:r>
    </w:p>
  </w:endnote>
  <w:endnote w:type="continuationSeparator" w:id="0">
    <w:p w:rsidR="00FC7006" w:rsidRDefault="00FC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006" w:rsidRDefault="00FC7006"/>
  </w:footnote>
  <w:footnote w:type="continuationSeparator" w:id="0">
    <w:p w:rsidR="00FC7006" w:rsidRDefault="00FC700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1E"/>
    <w:rsid w:val="00224A1E"/>
    <w:rsid w:val="00455095"/>
    <w:rsid w:val="00D721EC"/>
    <w:rsid w:val="00FC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4ECF6-86E9-4505-9E96-CB63A453C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PicturecaptionExact">
    <w:name w:val="Picture caption Exact"/>
    <w:basedOn w:val="DefaultParagraphFont"/>
    <w:link w:val="Pictur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Picturecaption">
    <w:name w:val="Picture caption"/>
    <w:basedOn w:val="Normal"/>
    <w:link w:val="Picturecaption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480" w:line="259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480" w:line="25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table" w:styleId="TableGrid">
    <w:name w:val="Table Grid"/>
    <w:basedOn w:val="TableNormal"/>
    <w:uiPriority w:val="39"/>
    <w:rsid w:val="00D7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xx</cp:lastModifiedBy>
  <cp:revision>2</cp:revision>
  <dcterms:created xsi:type="dcterms:W3CDTF">2018-06-01T12:58:00Z</dcterms:created>
  <dcterms:modified xsi:type="dcterms:W3CDTF">2018-06-01T13:04:00Z</dcterms:modified>
</cp:coreProperties>
</file>